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7A" w:rsidRPr="00E12C7A" w:rsidRDefault="00E12C7A" w:rsidP="00E12C7A"/>
    <w:p w:rsidR="00C76F8E" w:rsidRDefault="00C76F8E" w:rsidP="00C76F8E">
      <w:pPr>
        <w:rPr>
          <w:sz w:val="36"/>
          <w:szCs w:val="36"/>
        </w:rPr>
      </w:pPr>
    </w:p>
    <w:p w:rsidR="00C76F8E" w:rsidRDefault="00C76F8E" w:rsidP="00C76F8E">
      <w:pPr>
        <w:rPr>
          <w:sz w:val="36"/>
          <w:szCs w:val="36"/>
        </w:rPr>
      </w:pPr>
    </w:p>
    <w:p w:rsidR="00C76F8E" w:rsidRDefault="00C76F8E" w:rsidP="00C76F8E">
      <w:pPr>
        <w:rPr>
          <w:sz w:val="36"/>
          <w:szCs w:val="36"/>
        </w:rPr>
      </w:pPr>
    </w:p>
    <w:p w:rsidR="00C76F8E" w:rsidRDefault="00C76F8E" w:rsidP="00C76F8E">
      <w:pPr>
        <w:rPr>
          <w:sz w:val="36"/>
          <w:szCs w:val="36"/>
        </w:rPr>
      </w:pPr>
    </w:p>
    <w:p w:rsidR="00C76F8E" w:rsidRDefault="00C76F8E" w:rsidP="00C76F8E">
      <w:pPr>
        <w:rPr>
          <w:sz w:val="36"/>
          <w:szCs w:val="36"/>
        </w:rPr>
      </w:pPr>
    </w:p>
    <w:p w:rsidR="00C76F8E" w:rsidRDefault="00C76F8E" w:rsidP="00C76F8E">
      <w:pPr>
        <w:rPr>
          <w:rFonts w:ascii="Times New Roman" w:hAnsi="Times New Roman" w:cs="Times New Roman"/>
          <w:b/>
          <w:sz w:val="96"/>
          <w:szCs w:val="96"/>
        </w:rPr>
      </w:pPr>
      <w:r w:rsidRPr="00C76F8E">
        <w:rPr>
          <w:rFonts w:ascii="Times New Roman" w:hAnsi="Times New Roman" w:cs="Times New Roman"/>
          <w:b/>
          <w:sz w:val="96"/>
          <w:szCs w:val="96"/>
        </w:rPr>
        <w:t>Проектная декларация</w:t>
      </w:r>
    </w:p>
    <w:p w:rsidR="00C76F8E" w:rsidRDefault="00C76F8E" w:rsidP="00C76F8E">
      <w:pPr>
        <w:rPr>
          <w:rFonts w:ascii="Times New Roman" w:hAnsi="Times New Roman" w:cs="Times New Roman"/>
          <w:sz w:val="28"/>
          <w:szCs w:val="28"/>
        </w:rPr>
      </w:pPr>
      <w:r w:rsidRPr="00C76F8E">
        <w:rPr>
          <w:rFonts w:ascii="Times New Roman" w:hAnsi="Times New Roman" w:cs="Times New Roman"/>
          <w:sz w:val="28"/>
          <w:szCs w:val="28"/>
        </w:rPr>
        <w:t xml:space="preserve">По </w:t>
      </w:r>
      <w:r w:rsidR="0035728B" w:rsidRPr="00C76F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объекту:</w:t>
      </w:r>
    </w:p>
    <w:p w:rsidR="00A82EC1" w:rsidRDefault="00C76F8E" w:rsidP="00C7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2FC1">
        <w:rPr>
          <w:rFonts w:ascii="Times New Roman" w:hAnsi="Times New Roman" w:cs="Times New Roman"/>
          <w:sz w:val="28"/>
          <w:szCs w:val="28"/>
        </w:rPr>
        <w:t>Многоквартирный 9-12-этажный жилой дом с помещениями общественного назначения, автостоянкой, трансформаторная подстанция по адресу: Новосибирская область, город Новосибирск, Октябрьский район, улица Узловая, 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6F8E" w:rsidRPr="00033D6E" w:rsidRDefault="00033D6E" w:rsidP="00C76F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8" w:history="1">
        <w:r w:rsidRPr="00ED48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3D6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48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zk</w:t>
        </w:r>
        <w:proofErr w:type="spellEnd"/>
        <w:r w:rsidRPr="00033D6E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D48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dakar</w:t>
        </w:r>
        <w:proofErr w:type="spellEnd"/>
        <w:r w:rsidRPr="00033D6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48F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3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25.12.2015 года</w:t>
      </w:r>
    </w:p>
    <w:p w:rsidR="00A82EC1" w:rsidRDefault="00A82EC1" w:rsidP="00A82EC1">
      <w:pPr>
        <w:tabs>
          <w:tab w:val="left" w:pos="2430"/>
        </w:tabs>
        <w:rPr>
          <w:sz w:val="32"/>
          <w:szCs w:val="32"/>
        </w:rPr>
      </w:pPr>
    </w:p>
    <w:p w:rsidR="00A82EC1" w:rsidRDefault="00A82EC1" w:rsidP="00A82EC1">
      <w:pPr>
        <w:tabs>
          <w:tab w:val="left" w:pos="2430"/>
        </w:tabs>
        <w:rPr>
          <w:sz w:val="32"/>
          <w:szCs w:val="32"/>
        </w:rPr>
      </w:pPr>
    </w:p>
    <w:p w:rsidR="00A82EC1" w:rsidRDefault="00A82EC1">
      <w:pPr>
        <w:tabs>
          <w:tab w:val="left" w:pos="2430"/>
        </w:tabs>
        <w:rPr>
          <w:sz w:val="32"/>
          <w:szCs w:val="32"/>
        </w:rPr>
      </w:pPr>
    </w:p>
    <w:p w:rsidR="00A82EC1" w:rsidRPr="00A82EC1" w:rsidRDefault="00A82EC1">
      <w:pPr>
        <w:tabs>
          <w:tab w:val="left" w:pos="2430"/>
        </w:tabs>
        <w:rPr>
          <w:sz w:val="32"/>
          <w:szCs w:val="32"/>
        </w:rPr>
      </w:pPr>
    </w:p>
    <w:p w:rsidR="000F7242" w:rsidRDefault="000F7242">
      <w:pPr>
        <w:tabs>
          <w:tab w:val="left" w:pos="2430"/>
        </w:tabs>
        <w:rPr>
          <w:sz w:val="56"/>
          <w:szCs w:val="56"/>
        </w:rPr>
      </w:pPr>
    </w:p>
    <w:p w:rsidR="000F7242" w:rsidRDefault="000F7242">
      <w:pPr>
        <w:tabs>
          <w:tab w:val="left" w:pos="2430"/>
        </w:tabs>
        <w:rPr>
          <w:sz w:val="56"/>
          <w:szCs w:val="56"/>
        </w:rPr>
      </w:pPr>
    </w:p>
    <w:p w:rsidR="000F7242" w:rsidRDefault="000F7242">
      <w:pPr>
        <w:tabs>
          <w:tab w:val="left" w:pos="2430"/>
        </w:tabs>
        <w:rPr>
          <w:sz w:val="56"/>
          <w:szCs w:val="56"/>
        </w:rPr>
      </w:pPr>
    </w:p>
    <w:p w:rsidR="00C76F8E" w:rsidRDefault="00C76F8E">
      <w:pPr>
        <w:tabs>
          <w:tab w:val="left" w:pos="2430"/>
        </w:tabs>
        <w:rPr>
          <w:sz w:val="56"/>
          <w:szCs w:val="56"/>
        </w:rPr>
      </w:pPr>
    </w:p>
    <w:p w:rsidR="00C76F8E" w:rsidRDefault="00C76F8E">
      <w:pPr>
        <w:tabs>
          <w:tab w:val="left" w:pos="2430"/>
        </w:tabs>
        <w:rPr>
          <w:sz w:val="56"/>
          <w:szCs w:val="56"/>
        </w:rPr>
      </w:pPr>
    </w:p>
    <w:p w:rsidR="00033D6E" w:rsidRDefault="00033D6E" w:rsidP="00C76F8E">
      <w:pPr>
        <w:pStyle w:val="a9"/>
        <w:numPr>
          <w:ilvl w:val="0"/>
          <w:numId w:val="1"/>
        </w:numPr>
        <w:tabs>
          <w:tab w:val="left" w:pos="24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F8E" w:rsidRDefault="00C76F8E" w:rsidP="00C76F8E">
      <w:pPr>
        <w:pStyle w:val="a9"/>
        <w:numPr>
          <w:ilvl w:val="0"/>
          <w:numId w:val="1"/>
        </w:numPr>
        <w:tabs>
          <w:tab w:val="left" w:pos="24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F8E">
        <w:rPr>
          <w:rFonts w:ascii="Times New Roman" w:hAnsi="Times New Roman" w:cs="Times New Roman"/>
          <w:b/>
          <w:sz w:val="32"/>
          <w:szCs w:val="32"/>
        </w:rPr>
        <w:lastRenderedPageBreak/>
        <w:t>Информация о застройщике</w:t>
      </w:r>
    </w:p>
    <w:tbl>
      <w:tblPr>
        <w:tblStyle w:val="aa"/>
        <w:tblW w:w="0" w:type="auto"/>
        <w:tblInd w:w="1080" w:type="dxa"/>
        <w:tblLook w:val="04A0"/>
      </w:tblPr>
      <w:tblGrid>
        <w:gridCol w:w="5229"/>
        <w:gridCol w:w="5133"/>
      </w:tblGrid>
      <w:tr w:rsidR="00D71D68" w:rsidTr="00C76F8E">
        <w:tc>
          <w:tcPr>
            <w:tcW w:w="5721" w:type="dxa"/>
          </w:tcPr>
          <w:p w:rsidR="00C76F8E" w:rsidRDefault="00C76F8E" w:rsidP="00C76F8E">
            <w:pPr>
              <w:pStyle w:val="a9"/>
              <w:numPr>
                <w:ilvl w:val="0"/>
                <w:numId w:val="2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6F8E">
              <w:rPr>
                <w:rFonts w:ascii="Times New Roman" w:hAnsi="Times New Roman" w:cs="Times New Roman"/>
                <w:sz w:val="20"/>
                <w:szCs w:val="20"/>
              </w:rPr>
              <w:t>Фирменное название</w:t>
            </w:r>
          </w:p>
          <w:p w:rsidR="00D71D68" w:rsidRDefault="00D71D68" w:rsidP="00D71D68">
            <w:pPr>
              <w:tabs>
                <w:tab w:val="left" w:pos="243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  <w:p w:rsidR="00D71D68" w:rsidRDefault="00D71D68" w:rsidP="00D71D68">
            <w:pPr>
              <w:tabs>
                <w:tab w:val="left" w:pos="243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  <w:p w:rsidR="00D71D68" w:rsidRPr="00D71D68" w:rsidRDefault="00D71D68" w:rsidP="00D71D68">
            <w:pPr>
              <w:tabs>
                <w:tab w:val="left" w:pos="2430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5721" w:type="dxa"/>
          </w:tcPr>
          <w:p w:rsidR="00D71D68" w:rsidRPr="001265EB" w:rsidRDefault="00D71D68" w:rsidP="00D71D68">
            <w:p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65EB">
              <w:rPr>
                <w:rFonts w:ascii="Times New Roman" w:hAnsi="Times New Roman" w:cs="Times New Roman"/>
                <w:sz w:val="20"/>
                <w:szCs w:val="20"/>
              </w:rPr>
              <w:t>Застройщик ООО «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ДАКАР</w:t>
            </w:r>
            <w:r w:rsidRPr="001265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71D68" w:rsidRPr="001265EB" w:rsidRDefault="00582FC1" w:rsidP="00D71D68">
            <w:p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</w:t>
            </w:r>
            <w:r w:rsidR="00D71D68" w:rsidRPr="001265EB">
              <w:rPr>
                <w:rFonts w:ascii="Times New Roman" w:hAnsi="Times New Roman" w:cs="Times New Roman"/>
                <w:sz w:val="20"/>
                <w:szCs w:val="20"/>
              </w:rPr>
              <w:t xml:space="preserve">, г. Новосибирск,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="00D71D68" w:rsidRPr="001265EB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  <w:p w:rsidR="00D71D68" w:rsidRPr="001265EB" w:rsidRDefault="00582FC1" w:rsidP="00D71D68">
            <w:p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</w:t>
            </w:r>
            <w:r w:rsidR="00D71D68" w:rsidRPr="001265EB">
              <w:rPr>
                <w:rFonts w:ascii="Times New Roman" w:hAnsi="Times New Roman" w:cs="Times New Roman"/>
                <w:sz w:val="20"/>
                <w:szCs w:val="20"/>
              </w:rPr>
              <w:t xml:space="preserve">, г. Новосибирск,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="00D71D68" w:rsidRPr="001265EB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  <w:p w:rsidR="00D71D68" w:rsidRPr="001265EB" w:rsidRDefault="00D71D68" w:rsidP="00D71D68">
            <w:p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65EB">
              <w:rPr>
                <w:rFonts w:ascii="Times New Roman" w:hAnsi="Times New Roman" w:cs="Times New Roman"/>
                <w:sz w:val="20"/>
                <w:szCs w:val="20"/>
              </w:rPr>
              <w:t xml:space="preserve">Пн-Пт-8.30-17.30 (перерыв с </w:t>
            </w:r>
            <w:r w:rsidR="006C2F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265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2F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65EB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 w:rsidR="006C2F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65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2F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65EB">
              <w:rPr>
                <w:rFonts w:ascii="Times New Roman" w:hAnsi="Times New Roman" w:cs="Times New Roman"/>
                <w:sz w:val="20"/>
                <w:szCs w:val="20"/>
              </w:rPr>
              <w:t xml:space="preserve">0), выходной </w:t>
            </w:r>
            <w:proofErr w:type="spellStart"/>
            <w:r w:rsidRPr="001265E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 w:rsidRPr="001265EB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1265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  <w:p w:rsidR="00C76F8E" w:rsidRDefault="00C76F8E" w:rsidP="00C76F8E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71D68" w:rsidTr="00C76F8E">
        <w:tc>
          <w:tcPr>
            <w:tcW w:w="5721" w:type="dxa"/>
          </w:tcPr>
          <w:p w:rsidR="00C76F8E" w:rsidRPr="00D71D68" w:rsidRDefault="00D71D68" w:rsidP="00D71D68">
            <w:pPr>
              <w:pStyle w:val="a9"/>
              <w:numPr>
                <w:ilvl w:val="0"/>
                <w:numId w:val="2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застройщика</w:t>
            </w:r>
          </w:p>
        </w:tc>
        <w:tc>
          <w:tcPr>
            <w:tcW w:w="5721" w:type="dxa"/>
          </w:tcPr>
          <w:p w:rsidR="00C76F8E" w:rsidRDefault="00D71D68" w:rsidP="00C76F8E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D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юридического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 №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 xml:space="preserve">005026086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выдано Межрайонной Инспекцией Федеральной налоговой службы №16 по Новосибирской области 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10.06.2015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71D68" w:rsidRDefault="00D71D68" w:rsidP="00C76F8E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1155476063951</w:t>
            </w:r>
          </w:p>
          <w:p w:rsidR="00B16B1D" w:rsidRDefault="00B16B1D" w:rsidP="00C76F8E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постановке на учет российской организации в налоговый орган по месту ее </w:t>
            </w:r>
            <w:r w:rsidR="00074042"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 №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 xml:space="preserve">005026087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выдано Инспекцией Федеральной налоговой службы по 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Железнодорожному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Новосибирск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 xml:space="preserve">10.06.2015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B16B1D" w:rsidRPr="00D71D68" w:rsidRDefault="00B16B1D" w:rsidP="00582FC1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5407231593/540701001</w:t>
            </w:r>
          </w:p>
        </w:tc>
      </w:tr>
      <w:tr w:rsidR="00D71D68" w:rsidTr="00C76F8E">
        <w:tc>
          <w:tcPr>
            <w:tcW w:w="5721" w:type="dxa"/>
          </w:tcPr>
          <w:p w:rsidR="00C76F8E" w:rsidRPr="00B16B1D" w:rsidRDefault="00B16B1D" w:rsidP="00B16B1D">
            <w:pPr>
              <w:pStyle w:val="a9"/>
              <w:numPr>
                <w:ilvl w:val="0"/>
                <w:numId w:val="2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Учредители (участники) застройщика, которые обладают пятью и более процентами голосов в органе управления этого юридического лица</w:t>
            </w:r>
          </w:p>
        </w:tc>
        <w:tc>
          <w:tcPr>
            <w:tcW w:w="5721" w:type="dxa"/>
          </w:tcPr>
          <w:p w:rsidR="00C76F8E" w:rsidRPr="00B16B1D" w:rsidRDefault="00582FC1" w:rsidP="00C76F8E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</w:tr>
      <w:tr w:rsidR="00D71D68" w:rsidTr="00C76F8E">
        <w:tc>
          <w:tcPr>
            <w:tcW w:w="5721" w:type="dxa"/>
          </w:tcPr>
          <w:p w:rsidR="00C76F8E" w:rsidRPr="00B16B1D" w:rsidRDefault="00B16B1D" w:rsidP="00B16B1D">
            <w:pPr>
              <w:pStyle w:val="a9"/>
              <w:numPr>
                <w:ilvl w:val="0"/>
                <w:numId w:val="2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оительства многоквартирных домов и (или) иных объектов недвижимости, в которых принимал участие застройщик в течение предшествующих 3 лет, сроки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5721" w:type="dxa"/>
          </w:tcPr>
          <w:p w:rsidR="00C76F8E" w:rsidRPr="001265EB" w:rsidRDefault="001265EB" w:rsidP="00582FC1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ДАКАР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не принимало участие в иных проектах в качестве застройщика в течение предшествующих трех лет.</w:t>
            </w:r>
          </w:p>
        </w:tc>
      </w:tr>
      <w:tr w:rsidR="00D71D68" w:rsidTr="00C76F8E">
        <w:tc>
          <w:tcPr>
            <w:tcW w:w="5721" w:type="dxa"/>
          </w:tcPr>
          <w:p w:rsidR="00C76F8E" w:rsidRPr="001265EB" w:rsidRDefault="001265EB" w:rsidP="001265EB">
            <w:pPr>
              <w:pStyle w:val="a9"/>
              <w:numPr>
                <w:ilvl w:val="0"/>
                <w:numId w:val="2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лицензируемой деятельности, номер лицензии, срок действия, орган, выдавший лицензию</w:t>
            </w:r>
          </w:p>
        </w:tc>
        <w:tc>
          <w:tcPr>
            <w:tcW w:w="5721" w:type="dxa"/>
          </w:tcPr>
          <w:p w:rsidR="00C76F8E" w:rsidRPr="001265EB" w:rsidRDefault="00AD4B17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ФЗ «О лицензировании отдельных видов деятельности» деятельность застройщика лицензированию не подлежит.</w:t>
            </w:r>
          </w:p>
        </w:tc>
      </w:tr>
      <w:tr w:rsidR="00D71D68" w:rsidTr="00C76F8E">
        <w:tc>
          <w:tcPr>
            <w:tcW w:w="5721" w:type="dxa"/>
          </w:tcPr>
          <w:p w:rsidR="00C76F8E" w:rsidRPr="000E0657" w:rsidRDefault="000E0657" w:rsidP="000E0657">
            <w:pPr>
              <w:pStyle w:val="a9"/>
              <w:numPr>
                <w:ilvl w:val="0"/>
                <w:numId w:val="2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0657">
              <w:rPr>
                <w:rFonts w:ascii="Times New Roman" w:hAnsi="Times New Roman" w:cs="Times New Roman"/>
                <w:sz w:val="20"/>
                <w:szCs w:val="20"/>
              </w:rPr>
              <w:t>Кредиторская и дебиторская задолженность; финансовый результат текущего года</w:t>
            </w:r>
          </w:p>
        </w:tc>
        <w:tc>
          <w:tcPr>
            <w:tcW w:w="5721" w:type="dxa"/>
          </w:tcPr>
          <w:p w:rsidR="00C76F8E" w:rsidRPr="000E0657" w:rsidRDefault="000E0657" w:rsidP="00C76F8E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76F8E" w:rsidRDefault="000E0657" w:rsidP="000E0657">
      <w:pPr>
        <w:pStyle w:val="a9"/>
        <w:numPr>
          <w:ilvl w:val="0"/>
          <w:numId w:val="1"/>
        </w:numPr>
        <w:tabs>
          <w:tab w:val="left" w:pos="24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проекте строительства</w:t>
      </w:r>
    </w:p>
    <w:tbl>
      <w:tblPr>
        <w:tblStyle w:val="aa"/>
        <w:tblW w:w="10368" w:type="dxa"/>
        <w:tblInd w:w="1080" w:type="dxa"/>
        <w:tblLook w:val="04A0"/>
      </w:tblPr>
      <w:tblGrid>
        <w:gridCol w:w="5265"/>
        <w:gridCol w:w="5103"/>
      </w:tblGrid>
      <w:tr w:rsidR="000E0657" w:rsidTr="000E0657">
        <w:tc>
          <w:tcPr>
            <w:tcW w:w="5265" w:type="dxa"/>
          </w:tcPr>
          <w:p w:rsidR="000E0657" w:rsidRPr="000E0657" w:rsidRDefault="000E0657" w:rsidP="000E0657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проекта строительства, </w:t>
            </w:r>
            <w:r w:rsidRPr="00AE1F18">
              <w:rPr>
                <w:rFonts w:ascii="Times New Roman" w:hAnsi="Times New Roman" w:cs="Times New Roman"/>
                <w:sz w:val="20"/>
                <w:szCs w:val="20"/>
              </w:rPr>
              <w:t>этапы и сроки его реализации, результаты экспертизы проектной документации</w:t>
            </w:r>
          </w:p>
        </w:tc>
        <w:tc>
          <w:tcPr>
            <w:tcW w:w="5103" w:type="dxa"/>
          </w:tcPr>
          <w:p w:rsidR="000E0657" w:rsidRDefault="008A7717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82FC1" w:rsidRPr="00582FC1">
              <w:rPr>
                <w:rFonts w:ascii="Times New Roman" w:hAnsi="Times New Roman" w:cs="Times New Roman"/>
                <w:sz w:val="20"/>
                <w:szCs w:val="20"/>
              </w:rPr>
              <w:t>ногоквартирн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="00582FC1" w:rsidRPr="00582FC1">
              <w:rPr>
                <w:rFonts w:ascii="Times New Roman" w:hAnsi="Times New Roman" w:cs="Times New Roman"/>
                <w:sz w:val="20"/>
                <w:szCs w:val="20"/>
              </w:rPr>
              <w:t xml:space="preserve"> 9-12-этажн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82FC1" w:rsidRPr="00582FC1">
              <w:rPr>
                <w:rFonts w:ascii="Times New Roman" w:hAnsi="Times New Roman" w:cs="Times New Roman"/>
                <w:sz w:val="20"/>
                <w:szCs w:val="20"/>
              </w:rPr>
              <w:t xml:space="preserve"> жило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582FC1" w:rsidRPr="00582FC1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 w:rsidR="00582F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82FC1" w:rsidRPr="00582FC1">
              <w:rPr>
                <w:rFonts w:ascii="Times New Roman" w:hAnsi="Times New Roman" w:cs="Times New Roman"/>
                <w:sz w:val="20"/>
                <w:szCs w:val="20"/>
              </w:rPr>
              <w:t xml:space="preserve"> с помещениями общественного назначения, автостоянкой, трансформаторная подстанция по адресу: Новосибирская область, город Новосибирск, Октябрьский район, улица Узловая, 8</w:t>
            </w:r>
          </w:p>
          <w:p w:rsidR="00E14DA4" w:rsidRDefault="00E14DA4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B17" w:rsidRDefault="00AD4B17" w:rsidP="00AD4B1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дома планируется в один этап. Начало строительства жилого дома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14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2015 года. Планируемый срок ввода объекта в эксплуатацию </w:t>
            </w:r>
            <w:r w:rsidR="00AE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5B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E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201</w:t>
            </w:r>
            <w:r w:rsidR="00352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E14DA4" w:rsidRDefault="00E14DA4" w:rsidP="00AD4B1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93E" w:rsidRDefault="0005793E" w:rsidP="00AD4B1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Положительное экспертное заключение проектной документац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 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="00EF20B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EF20BF">
              <w:rPr>
                <w:rFonts w:ascii="Times New Roman" w:hAnsi="Times New Roman" w:cs="Times New Roman"/>
                <w:sz w:val="20"/>
                <w:szCs w:val="20"/>
              </w:rPr>
              <w:t>АванЭксперт</w:t>
            </w:r>
            <w:proofErr w:type="spellEnd"/>
            <w:r w:rsidR="00EF20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утверждено за номером в реестре 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 xml:space="preserve">2-1-1-0095-15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21.10.2015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B17" w:rsidRPr="00AD4B17" w:rsidRDefault="00AD4B17" w:rsidP="00AD4B1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657" w:rsidTr="000E0657">
        <w:tc>
          <w:tcPr>
            <w:tcW w:w="5265" w:type="dxa"/>
          </w:tcPr>
          <w:p w:rsidR="000E0657" w:rsidRPr="00FB6056" w:rsidRDefault="00FB6056" w:rsidP="00FB6056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5103" w:type="dxa"/>
          </w:tcPr>
          <w:p w:rsidR="000E0657" w:rsidRPr="00FB6056" w:rsidRDefault="00FB6056" w:rsidP="00EF20BF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строительство 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54-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54303000-379-2015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09.12.2015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320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C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ыдано Мэрией города Новосибирска</w:t>
            </w:r>
          </w:p>
        </w:tc>
      </w:tr>
      <w:tr w:rsidR="000E0657" w:rsidTr="000E0657">
        <w:tc>
          <w:tcPr>
            <w:tcW w:w="5265" w:type="dxa"/>
          </w:tcPr>
          <w:p w:rsidR="000E0657" w:rsidRPr="00FB6056" w:rsidRDefault="00FB6056" w:rsidP="00FB6056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застройщика на земельный участок, границы и площади земельного участка, предусмотренные проектной документацией элементы благоустройства</w:t>
            </w:r>
          </w:p>
        </w:tc>
        <w:tc>
          <w:tcPr>
            <w:tcW w:w="5103" w:type="dxa"/>
          </w:tcPr>
          <w:p w:rsidR="000E0657" w:rsidRDefault="00FB6056" w:rsidP="00FB6056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 xml:space="preserve">льный участок под строительство </w:t>
            </w:r>
            <w:r w:rsidR="00EF20BF" w:rsidRPr="00EF20BF">
              <w:rPr>
                <w:rFonts w:ascii="Times New Roman" w:hAnsi="Times New Roman" w:cs="Times New Roman"/>
                <w:sz w:val="20"/>
                <w:szCs w:val="20"/>
              </w:rPr>
              <w:t>многоквартирного  9-12-этажного жилого дома с помещениями общественного назначения, автостоянкой, трансформаторная подстанция по адресу: Новосибирская область, город Новосибирск, Октябрьский район, улица Узловая, 8</w:t>
            </w:r>
            <w:r w:rsidR="00AD4B17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принадлежит на праве собственност</w:t>
            </w:r>
            <w:proofErr w:type="gramStart"/>
            <w:r w:rsidR="00AD4B17">
              <w:rPr>
                <w:rFonts w:ascii="Times New Roman" w:hAnsi="Times New Roman" w:cs="Times New Roman"/>
                <w:sz w:val="20"/>
                <w:szCs w:val="20"/>
              </w:rPr>
              <w:t>и О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4B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AD4B1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ДАКАР</w:t>
            </w:r>
            <w:r w:rsidR="00AD4B17">
              <w:rPr>
                <w:rFonts w:ascii="Times New Roman" w:hAnsi="Times New Roman" w:cs="Times New Roman"/>
                <w:sz w:val="20"/>
                <w:szCs w:val="20"/>
              </w:rPr>
              <w:t>», что подтверждается свидетельством о г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осударственной регистрации 54-54/001-54/001/875/2015-275/2</w:t>
            </w:r>
            <w:r w:rsidR="00AD4B17">
              <w:rPr>
                <w:rFonts w:ascii="Times New Roman" w:hAnsi="Times New Roman" w:cs="Times New Roman"/>
                <w:sz w:val="20"/>
                <w:szCs w:val="20"/>
              </w:rPr>
              <w:t>, выданным Управлением Федеральной службы государственной регистра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ции, кадастра и картографии по Н</w:t>
            </w:r>
            <w:r w:rsidR="00AD4B17">
              <w:rPr>
                <w:rFonts w:ascii="Times New Roman" w:hAnsi="Times New Roman" w:cs="Times New Roman"/>
                <w:sz w:val="20"/>
                <w:szCs w:val="20"/>
              </w:rPr>
              <w:t xml:space="preserve">овосибирской области 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04.08.2015</w:t>
            </w:r>
            <w:r w:rsidR="00AD4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0C5" w:rsidRDefault="00EE7E17" w:rsidP="00FB6056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 под строительство -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3870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 w:rsidR="004C10C5">
              <w:rPr>
                <w:rFonts w:ascii="Times New Roman" w:hAnsi="Times New Roman" w:cs="Times New Roman"/>
                <w:sz w:val="20"/>
                <w:szCs w:val="20"/>
              </w:rPr>
              <w:t>, кадастровый номер 54:35: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071345:2</w:t>
            </w:r>
            <w:r w:rsidR="004C10C5">
              <w:rPr>
                <w:rFonts w:ascii="Times New Roman" w:hAnsi="Times New Roman" w:cs="Times New Roman"/>
                <w:sz w:val="20"/>
                <w:szCs w:val="20"/>
              </w:rPr>
              <w:t xml:space="preserve">, категория </w:t>
            </w:r>
            <w:proofErr w:type="spellStart"/>
            <w:r w:rsidR="004C10C5">
              <w:rPr>
                <w:rFonts w:ascii="Times New Roman" w:hAnsi="Times New Roman" w:cs="Times New Roman"/>
                <w:sz w:val="20"/>
                <w:szCs w:val="20"/>
              </w:rPr>
              <w:t>земель-земли</w:t>
            </w:r>
            <w:proofErr w:type="spellEnd"/>
            <w:r w:rsidR="004C10C5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 xml:space="preserve">; разрешенное </w:t>
            </w:r>
            <w:proofErr w:type="spellStart"/>
            <w:r w:rsidR="00EF20BF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4C1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t>многоквартирные</w:t>
            </w:r>
            <w:proofErr w:type="spellEnd"/>
            <w:r w:rsidR="00EF20BF">
              <w:rPr>
                <w:rFonts w:ascii="Times New Roman" w:hAnsi="Times New Roman" w:cs="Times New Roman"/>
                <w:sz w:val="20"/>
                <w:szCs w:val="20"/>
              </w:rPr>
              <w:t xml:space="preserve"> 9-13-этажные дома, в </w:t>
            </w:r>
            <w:r w:rsidR="00EF2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с помещениями общественного назначения, автостоянками; комплексные</w:t>
            </w:r>
            <w:r w:rsidR="00EB7C8C">
              <w:rPr>
                <w:rFonts w:ascii="Times New Roman" w:hAnsi="Times New Roman" w:cs="Times New Roman"/>
                <w:sz w:val="20"/>
                <w:szCs w:val="20"/>
              </w:rPr>
              <w:t xml:space="preserve"> трансформаторные подстанции наружной установки; трансформаторные подстанции; </w:t>
            </w:r>
            <w:r w:rsidR="00CF406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EB7C8C">
              <w:rPr>
                <w:rFonts w:ascii="Times New Roman" w:hAnsi="Times New Roman" w:cs="Times New Roman"/>
                <w:sz w:val="20"/>
                <w:szCs w:val="20"/>
              </w:rPr>
              <w:t>ентральные тепловые пункты; распределительные пункты; насосные станции; очистные сооружения ливневой канализации; объекты инженерно-технического назначения</w:t>
            </w:r>
            <w:r w:rsidR="004C10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C10C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под строительство расположена в </w:t>
            </w:r>
            <w:r w:rsidR="00EB7C8C">
              <w:rPr>
                <w:rFonts w:ascii="Times New Roman" w:hAnsi="Times New Roman" w:cs="Times New Roman"/>
                <w:sz w:val="20"/>
                <w:szCs w:val="20"/>
              </w:rPr>
              <w:t>Октябрьском</w:t>
            </w:r>
            <w:r w:rsidR="004C10C5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 w:rsidR="004C10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C10C5">
              <w:rPr>
                <w:rFonts w:ascii="Times New Roman" w:hAnsi="Times New Roman" w:cs="Times New Roman"/>
                <w:sz w:val="20"/>
                <w:szCs w:val="20"/>
              </w:rPr>
              <w:t>. Новосибирска, ограничена</w:t>
            </w:r>
          </w:p>
          <w:p w:rsidR="004C10C5" w:rsidRPr="00D8015A" w:rsidRDefault="004C10C5" w:rsidP="00FB6056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D8015A">
              <w:rPr>
                <w:rFonts w:ascii="Times New Roman" w:hAnsi="Times New Roman" w:cs="Times New Roman"/>
                <w:sz w:val="20"/>
                <w:szCs w:val="20"/>
              </w:rPr>
              <w:t>северной</w:t>
            </w:r>
            <w:proofErr w:type="gramEnd"/>
            <w:r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15A">
              <w:rPr>
                <w:rFonts w:ascii="Times New Roman" w:hAnsi="Times New Roman" w:cs="Times New Roman"/>
                <w:sz w:val="20"/>
                <w:szCs w:val="20"/>
              </w:rPr>
              <w:t>сторны</w:t>
            </w:r>
            <w:proofErr w:type="spellEnd"/>
            <w:r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D8015A" w:rsidRPr="00D8015A">
              <w:rPr>
                <w:rFonts w:ascii="Times New Roman" w:hAnsi="Times New Roman" w:cs="Times New Roman"/>
                <w:sz w:val="20"/>
                <w:szCs w:val="20"/>
              </w:rPr>
              <w:t>Черемховской и ул. Узловая</w:t>
            </w: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10C5" w:rsidRPr="00D8015A" w:rsidRDefault="004C10C5" w:rsidP="00FB6056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-с </w:t>
            </w:r>
            <w:proofErr w:type="spellStart"/>
            <w:r w:rsidRPr="00D8015A">
              <w:rPr>
                <w:rFonts w:ascii="Times New Roman" w:hAnsi="Times New Roman" w:cs="Times New Roman"/>
                <w:sz w:val="20"/>
                <w:szCs w:val="20"/>
              </w:rPr>
              <w:t>запада-</w:t>
            </w:r>
            <w:r w:rsidR="00D8015A" w:rsidRPr="00D8015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D8015A" w:rsidRPr="00D8015A">
              <w:rPr>
                <w:rFonts w:ascii="Times New Roman" w:hAnsi="Times New Roman" w:cs="Times New Roman"/>
                <w:sz w:val="20"/>
                <w:szCs w:val="20"/>
              </w:rPr>
              <w:t>. Угловая</w:t>
            </w: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10C5" w:rsidRDefault="004C10C5" w:rsidP="00FB6056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="00D8015A"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 юг</w:t>
            </w:r>
            <w:proofErr w:type="gramStart"/>
            <w:r w:rsidR="00D8015A" w:rsidRPr="00D8015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15A" w:rsidRPr="00D8015A">
              <w:rPr>
                <w:rFonts w:ascii="Times New Roman" w:hAnsi="Times New Roman" w:cs="Times New Roman"/>
                <w:sz w:val="20"/>
                <w:szCs w:val="20"/>
              </w:rPr>
              <w:t>ул. Радистов</w:t>
            </w: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7E17" w:rsidRDefault="004C10C5" w:rsidP="00FB6056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участке не расположены объекты, подлежащие сносу. </w:t>
            </w:r>
          </w:p>
          <w:p w:rsidR="004C10C5" w:rsidRPr="00FB6056" w:rsidRDefault="004C10C5" w:rsidP="00FB6056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Проектом благоустройства</w:t>
            </w:r>
            <w:r w:rsidR="008500D4">
              <w:rPr>
                <w:rFonts w:ascii="Times New Roman" w:hAnsi="Times New Roman" w:cs="Times New Roman"/>
                <w:sz w:val="20"/>
                <w:szCs w:val="20"/>
              </w:rPr>
              <w:t xml:space="preserve"> решаются проезды и пешеходные дороги, ведущие к жилым домам, озеленение, площадки для отдыха и игр детей, стоянки автомобильного транспорта, площадки для отдыха взрослых, а так же организация площадок по </w:t>
            </w:r>
            <w:proofErr w:type="spellStart"/>
            <w:r w:rsidR="008500D4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proofErr w:type="spellEnd"/>
            <w:r w:rsidR="008500D4">
              <w:rPr>
                <w:rFonts w:ascii="Times New Roman" w:hAnsi="Times New Roman" w:cs="Times New Roman"/>
                <w:sz w:val="20"/>
                <w:szCs w:val="20"/>
              </w:rPr>
              <w:t xml:space="preserve"> 2.07.01-89*</w:t>
            </w:r>
          </w:p>
        </w:tc>
      </w:tr>
      <w:tr w:rsidR="000E0657" w:rsidTr="000E0657">
        <w:tc>
          <w:tcPr>
            <w:tcW w:w="5265" w:type="dxa"/>
          </w:tcPr>
          <w:p w:rsidR="000E0657" w:rsidRPr="008500D4" w:rsidRDefault="008500D4" w:rsidP="008500D4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Месторасположение строящегося объекта и его описание</w:t>
            </w:r>
          </w:p>
        </w:tc>
        <w:tc>
          <w:tcPr>
            <w:tcW w:w="5103" w:type="dxa"/>
          </w:tcPr>
          <w:p w:rsidR="000E0657" w:rsidRDefault="008500D4" w:rsidP="008500D4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2F07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овосибирская область, г. Новосибирск,</w:t>
            </w:r>
            <w:r w:rsidR="00A50117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A50117">
              <w:rPr>
                <w:rFonts w:ascii="Times New Roman" w:hAnsi="Times New Roman" w:cs="Times New Roman"/>
                <w:sz w:val="20"/>
                <w:szCs w:val="20"/>
              </w:rPr>
              <w:t>Узловая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0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(адрес строительный).</w:t>
            </w:r>
            <w:proofErr w:type="gramEnd"/>
          </w:p>
          <w:p w:rsidR="008500D4" w:rsidRPr="008500D4" w:rsidRDefault="008500D4" w:rsidP="00182909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A50117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секционное, </w:t>
            </w:r>
            <w:r w:rsidR="00A50117">
              <w:rPr>
                <w:rFonts w:ascii="Times New Roman" w:hAnsi="Times New Roman" w:cs="Times New Roman"/>
                <w:sz w:val="20"/>
                <w:szCs w:val="20"/>
              </w:rPr>
              <w:t>9-12-этажное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(первый этаж</w:t>
            </w:r>
            <w:r w:rsidR="00A5011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15BB5">
              <w:rPr>
                <w:rFonts w:ascii="Times New Roman" w:hAnsi="Times New Roman" w:cs="Times New Roman"/>
                <w:sz w:val="20"/>
                <w:szCs w:val="20"/>
              </w:rPr>
              <w:t>бло</w:t>
            </w:r>
            <w:proofErr w:type="gramStart"/>
            <w:r w:rsidR="00515BB5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="00A50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0117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-входные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  <w:r w:rsidR="00A50117">
              <w:rPr>
                <w:rFonts w:ascii="Times New Roman" w:hAnsi="Times New Roman" w:cs="Times New Roman"/>
                <w:sz w:val="20"/>
                <w:szCs w:val="20"/>
              </w:rPr>
              <w:t xml:space="preserve">, комната консьержа, комната уборочного инвентаря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50117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общественного назначения, во 2 </w:t>
            </w:r>
            <w:proofErr w:type="spellStart"/>
            <w:r w:rsidR="00A50117">
              <w:rPr>
                <w:rFonts w:ascii="Times New Roman" w:hAnsi="Times New Roman" w:cs="Times New Roman"/>
                <w:sz w:val="20"/>
                <w:szCs w:val="20"/>
              </w:rPr>
              <w:t>блок-секции</w:t>
            </w:r>
            <w:proofErr w:type="spellEnd"/>
            <w:r w:rsidR="00A5011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44C4F">
              <w:rPr>
                <w:rFonts w:ascii="Times New Roman" w:hAnsi="Times New Roman" w:cs="Times New Roman"/>
                <w:sz w:val="20"/>
                <w:szCs w:val="20"/>
              </w:rPr>
              <w:t xml:space="preserve">комната консьержа, </w:t>
            </w:r>
            <w:r w:rsidR="00A50117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A50117" w:rsidRPr="00AA22A4">
              <w:rPr>
                <w:rFonts w:ascii="Times New Roman" w:hAnsi="Times New Roman" w:cs="Times New Roman"/>
                <w:sz w:val="20"/>
                <w:szCs w:val="20"/>
              </w:rPr>
              <w:t>продовольственных товаров</w:t>
            </w:r>
            <w:r w:rsidR="001829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0117" w:rsidRPr="00AA22A4">
              <w:rPr>
                <w:rFonts w:ascii="Times New Roman" w:hAnsi="Times New Roman" w:cs="Times New Roman"/>
                <w:sz w:val="20"/>
                <w:szCs w:val="20"/>
              </w:rPr>
              <w:t xml:space="preserve">  2-9 (12) </w:t>
            </w:r>
            <w:r w:rsidRPr="00AA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2A4">
              <w:rPr>
                <w:rFonts w:ascii="Times New Roman" w:hAnsi="Times New Roman" w:cs="Times New Roman"/>
                <w:sz w:val="20"/>
                <w:szCs w:val="20"/>
              </w:rPr>
              <w:t>этажи-жилые</w:t>
            </w:r>
            <w:proofErr w:type="spellEnd"/>
            <w:r w:rsidRPr="00AA22A4">
              <w:rPr>
                <w:rFonts w:ascii="Times New Roman" w:hAnsi="Times New Roman" w:cs="Times New Roman"/>
                <w:sz w:val="20"/>
                <w:szCs w:val="20"/>
              </w:rPr>
              <w:t>, с подземн</w:t>
            </w:r>
            <w:r w:rsidR="00C34F9D" w:rsidRPr="00AA22A4">
              <w:rPr>
                <w:rFonts w:ascii="Times New Roman" w:hAnsi="Times New Roman" w:cs="Times New Roman"/>
                <w:sz w:val="20"/>
                <w:szCs w:val="20"/>
              </w:rPr>
              <w:t>ой парковкой</w:t>
            </w:r>
            <w:r w:rsidRPr="00AA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0657" w:rsidTr="000E0657">
        <w:tc>
          <w:tcPr>
            <w:tcW w:w="5265" w:type="dxa"/>
          </w:tcPr>
          <w:p w:rsidR="000E0657" w:rsidRPr="008500D4" w:rsidRDefault="008500D4" w:rsidP="008500D4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 составе строящегося объекта недвижимости самостоятельных частей, передаваемых участникам долевого строительства, описание технических характеристик в соответствии с проектной документацией </w:t>
            </w:r>
          </w:p>
        </w:tc>
        <w:tc>
          <w:tcPr>
            <w:tcW w:w="5103" w:type="dxa"/>
          </w:tcPr>
          <w:p w:rsidR="000E0657" w:rsidRDefault="00BE298A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жилого дома в соответствии с разрешением на строительство планируется в один этап.</w:t>
            </w:r>
          </w:p>
          <w:p w:rsidR="00BE298A" w:rsidRDefault="00AA22A4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квартир-122</w:t>
            </w:r>
            <w:r w:rsidR="00B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E298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6A6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42247">
              <w:rPr>
                <w:rFonts w:ascii="Times New Roman" w:hAnsi="Times New Roman" w:cs="Times New Roman"/>
                <w:sz w:val="20"/>
                <w:szCs w:val="20"/>
              </w:rPr>
              <w:t>1 б/с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-48 штук, </w:t>
            </w:r>
            <w:r w:rsidR="00E42247">
              <w:rPr>
                <w:rFonts w:ascii="Times New Roman" w:hAnsi="Times New Roman" w:cs="Times New Roman"/>
                <w:sz w:val="20"/>
                <w:szCs w:val="20"/>
              </w:rPr>
              <w:t>2 б/с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-74 штуки)</w:t>
            </w:r>
            <w:r w:rsidR="00BE298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  <w:p w:rsidR="00BE298A" w:rsidRDefault="00AA22A4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-1-окомнатные студии:-</w:t>
            </w:r>
            <w:r w:rsidR="00B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 (1б/с-3</w:t>
            </w:r>
            <w:r w:rsidR="00AE0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 б/с-56)</w:t>
            </w:r>
            <w:proofErr w:type="spellStart"/>
            <w:proofErr w:type="gramStart"/>
            <w:r w:rsidR="00BE298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E298A" w:rsidRDefault="00BE298A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-2-хкомнатные </w:t>
            </w:r>
            <w:r w:rsidR="00AA22A4">
              <w:rPr>
                <w:rFonts w:ascii="Times New Roman" w:hAnsi="Times New Roman" w:cs="Times New Roman"/>
                <w:sz w:val="20"/>
                <w:szCs w:val="20"/>
              </w:rPr>
              <w:t>студии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r w:rsidR="00AA22A4">
              <w:rPr>
                <w:rFonts w:ascii="Times New Roman" w:hAnsi="Times New Roman" w:cs="Times New Roman"/>
                <w:sz w:val="20"/>
                <w:szCs w:val="20"/>
              </w:rPr>
              <w:t>8 (1 б/с-8</w:t>
            </w:r>
            <w:r w:rsidR="00E422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E298A" w:rsidRDefault="00BE298A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2247">
              <w:rPr>
                <w:rFonts w:ascii="Times New Roman" w:hAnsi="Times New Roman" w:cs="Times New Roman"/>
                <w:sz w:val="20"/>
                <w:szCs w:val="20"/>
              </w:rPr>
              <w:t xml:space="preserve">2-хкомнатные квартиры:-11 (2 б/с-11)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E298A" w:rsidRDefault="00E42247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BE298A">
              <w:rPr>
                <w:rFonts w:ascii="Times New Roman" w:hAnsi="Times New Roman" w:cs="Times New Roman"/>
                <w:sz w:val="20"/>
                <w:szCs w:val="20"/>
              </w:rPr>
              <w:t xml:space="preserve">-хкомнатные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студии</w:t>
            </w:r>
            <w:r w:rsidR="00BE298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(1 б/с-8, 2 б/с-7)</w:t>
            </w:r>
            <w:r w:rsidR="00B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E298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F4AF4" w:rsidRPr="00057210" w:rsidRDefault="00BE298A" w:rsidP="00E4224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квартир</w:t>
            </w:r>
            <w:r w:rsidR="00E42247">
              <w:rPr>
                <w:rFonts w:ascii="Times New Roman" w:hAnsi="Times New Roman" w:cs="Times New Roman"/>
                <w:sz w:val="20"/>
                <w:szCs w:val="20"/>
              </w:rPr>
              <w:t xml:space="preserve"> 6230,05 (1 б/с-2675,12, 2 б/с-3554,93)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AE042E" w:rsidRPr="00AE042E" w:rsidRDefault="006A6F30" w:rsidP="00AE042E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E042E">
              <w:rPr>
                <w:rFonts w:ascii="Times New Roman" w:hAnsi="Times New Roman" w:cs="Times New Roman"/>
                <w:sz w:val="20"/>
                <w:szCs w:val="20"/>
              </w:rPr>
              <w:t xml:space="preserve">арковка (1 подземный этаж) площадью </w:t>
            </w:r>
            <w:r w:rsidR="00AE042E" w:rsidRPr="00AE042E">
              <w:rPr>
                <w:rFonts w:ascii="Times New Roman" w:hAnsi="Times New Roman" w:cs="Times New Roman"/>
                <w:sz w:val="20"/>
                <w:szCs w:val="20"/>
              </w:rPr>
              <w:t xml:space="preserve">716.79 </w:t>
            </w:r>
            <w:r w:rsidR="00AE042E">
              <w:rPr>
                <w:rFonts w:ascii="Times New Roman" w:hAnsi="Times New Roman" w:cs="Times New Roman"/>
                <w:sz w:val="20"/>
                <w:szCs w:val="20"/>
              </w:rPr>
              <w:t xml:space="preserve"> кв.м., 27 </w:t>
            </w:r>
            <w:proofErr w:type="spellStart"/>
            <w:r w:rsidR="00AE042E">
              <w:rPr>
                <w:rFonts w:ascii="Times New Roman" w:hAnsi="Times New Roman" w:cs="Times New Roman"/>
                <w:sz w:val="20"/>
                <w:szCs w:val="20"/>
              </w:rPr>
              <w:t>маш</w:t>
            </w:r>
            <w:proofErr w:type="spellEnd"/>
            <w:r w:rsidR="00AE042E">
              <w:rPr>
                <w:rFonts w:ascii="Times New Roman" w:hAnsi="Times New Roman" w:cs="Times New Roman"/>
                <w:sz w:val="20"/>
                <w:szCs w:val="20"/>
              </w:rPr>
              <w:t>./мест</w:t>
            </w:r>
          </w:p>
        </w:tc>
      </w:tr>
      <w:tr w:rsidR="000E0657" w:rsidTr="000E0657">
        <w:tc>
          <w:tcPr>
            <w:tcW w:w="5265" w:type="dxa"/>
          </w:tcPr>
          <w:p w:rsidR="000E0657" w:rsidRPr="001704F1" w:rsidRDefault="001704F1" w:rsidP="001704F1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нежилых помещений не входящих в состав общего имущества в многоквартирном доме</w:t>
            </w:r>
          </w:p>
        </w:tc>
        <w:tc>
          <w:tcPr>
            <w:tcW w:w="5103" w:type="dxa"/>
          </w:tcPr>
          <w:p w:rsidR="006A6F30" w:rsidRPr="00AE042E" w:rsidRDefault="00DF727E" w:rsidP="006A6F30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F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A6F30" w:rsidRPr="001704F1">
              <w:rPr>
                <w:rFonts w:ascii="Times New Roman" w:hAnsi="Times New Roman" w:cs="Times New Roman"/>
                <w:sz w:val="20"/>
                <w:szCs w:val="20"/>
              </w:rPr>
              <w:t>ервый этаж</w:t>
            </w:r>
            <w:r w:rsidR="006A6F30">
              <w:rPr>
                <w:rFonts w:ascii="Times New Roman" w:hAnsi="Times New Roman" w:cs="Times New Roman"/>
                <w:sz w:val="20"/>
                <w:szCs w:val="20"/>
              </w:rPr>
              <w:t xml:space="preserve"> 1 б/с</w:t>
            </w:r>
            <w:r w:rsidR="006A6F30" w:rsidRPr="00AE0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F30" w:rsidRPr="001704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A6F30">
              <w:rPr>
                <w:rFonts w:ascii="Times New Roman" w:hAnsi="Times New Roman" w:cs="Times New Roman"/>
                <w:sz w:val="20"/>
                <w:szCs w:val="20"/>
              </w:rPr>
              <w:t>офис площадью 135.9</w:t>
            </w:r>
            <w:r w:rsidR="006A6F30" w:rsidRPr="00AE0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6F30">
              <w:rPr>
                <w:rFonts w:ascii="Times New Roman" w:hAnsi="Times New Roman" w:cs="Times New Roman"/>
                <w:sz w:val="20"/>
                <w:szCs w:val="20"/>
              </w:rPr>
              <w:t xml:space="preserve"> кв.м., офис площадью </w:t>
            </w:r>
            <w:r w:rsidR="006A6F30" w:rsidRPr="00AE042E">
              <w:rPr>
                <w:rFonts w:ascii="Times New Roman" w:hAnsi="Times New Roman" w:cs="Times New Roman"/>
                <w:sz w:val="20"/>
                <w:szCs w:val="20"/>
              </w:rPr>
              <w:t>74.59</w:t>
            </w:r>
            <w:r w:rsidR="006A6F30">
              <w:rPr>
                <w:rFonts w:ascii="Times New Roman" w:hAnsi="Times New Roman" w:cs="Times New Roman"/>
                <w:sz w:val="20"/>
                <w:szCs w:val="20"/>
              </w:rPr>
              <w:t xml:space="preserve"> кв.м., офис площадью </w:t>
            </w:r>
            <w:r w:rsidR="006A6F30" w:rsidRPr="00AE042E">
              <w:rPr>
                <w:rFonts w:ascii="Times New Roman" w:hAnsi="Times New Roman" w:cs="Times New Roman"/>
                <w:sz w:val="20"/>
                <w:szCs w:val="20"/>
              </w:rPr>
              <w:t>119.39</w:t>
            </w:r>
            <w:r w:rsidR="006A6F3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E42247" w:rsidRPr="001704F1" w:rsidRDefault="006A6F30" w:rsidP="006A6F30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этаж 2 б/с</w:t>
            </w:r>
            <w:r w:rsidRPr="00AE0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магазин продовольственных товаров площадью </w:t>
            </w:r>
            <w:r w:rsidRPr="00AE042E">
              <w:rPr>
                <w:rFonts w:ascii="Times New Roman" w:hAnsi="Times New Roman" w:cs="Times New Roman"/>
                <w:sz w:val="20"/>
                <w:szCs w:val="20"/>
              </w:rPr>
              <w:t xml:space="preserve">373.67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</w:tr>
      <w:tr w:rsidR="000E0657" w:rsidTr="000E0657">
        <w:tc>
          <w:tcPr>
            <w:tcW w:w="5265" w:type="dxa"/>
          </w:tcPr>
          <w:p w:rsidR="000E0657" w:rsidRPr="001704F1" w:rsidRDefault="001704F1" w:rsidP="001704F1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составе общего имущества в многоквартирном доме, которое будет находиться в общей долевой собственности после ввода объекта в эксплуатацию</w:t>
            </w:r>
          </w:p>
        </w:tc>
        <w:tc>
          <w:tcPr>
            <w:tcW w:w="5103" w:type="dxa"/>
          </w:tcPr>
          <w:p w:rsidR="000E0657" w:rsidRDefault="001704F1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состав общего имущества, которое будет находиться в общей долевой собственности владельцев помещений после ввода </w:t>
            </w:r>
            <w:r w:rsidR="000E4E3B">
              <w:rPr>
                <w:rFonts w:ascii="Times New Roman" w:hAnsi="Times New Roman" w:cs="Times New Roman"/>
                <w:sz w:val="20"/>
                <w:szCs w:val="20"/>
              </w:rPr>
              <w:t>объекта в эксплуатацию входит: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участок, на котором ведется строительство;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-подсобные помещения;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-лифтовые холлы;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F32024">
              <w:rPr>
                <w:rFonts w:ascii="Times New Roman" w:hAnsi="Times New Roman" w:cs="Times New Roman"/>
                <w:sz w:val="20"/>
                <w:szCs w:val="20"/>
              </w:rPr>
              <w:t>Электрощитовые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-тамбуры входов незадымляемых лестниц;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-незадымляемые лестницы;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-машинные помещения лифтов;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-тамбуры входов лифтовых холлов;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46F7">
              <w:rPr>
                <w:rFonts w:ascii="Times New Roman" w:hAnsi="Times New Roman" w:cs="Times New Roman"/>
                <w:sz w:val="20"/>
                <w:szCs w:val="20"/>
              </w:rPr>
              <w:t>помещения консьержа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кровля;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-поэтажные лифтовые холлы;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-ИТП;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6A7F">
              <w:rPr>
                <w:rFonts w:ascii="Times New Roman" w:hAnsi="Times New Roman" w:cs="Times New Roman"/>
                <w:sz w:val="20"/>
                <w:szCs w:val="20"/>
              </w:rPr>
              <w:t>насосная;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-пожарная насосная;</w:t>
            </w:r>
          </w:p>
          <w:p w:rsidR="000E4E3B" w:rsidRDefault="008A58AF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r w:rsidR="000E4E3B">
              <w:rPr>
                <w:rFonts w:ascii="Times New Roman" w:hAnsi="Times New Roman" w:cs="Times New Roman"/>
                <w:sz w:val="20"/>
                <w:szCs w:val="20"/>
              </w:rPr>
              <w:t>ашинное помещение;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венткамеры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-вестибюли;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приквартирные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коридоры;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46F7">
              <w:rPr>
                <w:rFonts w:ascii="Times New Roman" w:hAnsi="Times New Roman" w:cs="Times New Roman"/>
                <w:sz w:val="20"/>
                <w:szCs w:val="20"/>
              </w:rPr>
              <w:t>балконы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незадымляемой лестницы;</w:t>
            </w:r>
          </w:p>
          <w:p w:rsidR="000E4E3B" w:rsidRDefault="000E4E3B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так же коридоры; технические помещения, подвалы, в которых имеются инженерные коммуникации и иное оборудование, обслуживающее</w:t>
            </w:r>
            <w:r w:rsidR="00112289">
              <w:rPr>
                <w:rFonts w:ascii="Times New Roman" w:hAnsi="Times New Roman" w:cs="Times New Roman"/>
                <w:sz w:val="20"/>
                <w:szCs w:val="20"/>
              </w:rPr>
              <w:t xml:space="preserve"> более одного помещения </w:t>
            </w:r>
            <w:r w:rsidR="00112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данном доме, а так же крыши, ограждающие несущие и не несущие конструкции указанного дома; механическое, электрическое, санитарно-техническое и иное оборудование, элементы озеленения и благоустройства придомовой территории.</w:t>
            </w:r>
          </w:p>
          <w:p w:rsidR="00966C1D" w:rsidRPr="001704F1" w:rsidRDefault="00966C1D" w:rsidP="004C46F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собственность участников долевого строительства, которые заключили договора долевого участия на нежилые помещения, расположенные на первом этаже вышеуказанного дома переходит право общей долевой собственности пропорционально площади занимаемого по</w:t>
            </w:r>
            <w:r w:rsidR="00C34F9D">
              <w:rPr>
                <w:rFonts w:ascii="Times New Roman" w:hAnsi="Times New Roman" w:cs="Times New Roman"/>
                <w:sz w:val="20"/>
                <w:szCs w:val="20"/>
              </w:rPr>
              <w:t>мещения на помещения коридоров, туалетов, кладовых, помещений для уборочного инвентаря.</w:t>
            </w:r>
            <w:proofErr w:type="gramEnd"/>
          </w:p>
        </w:tc>
      </w:tr>
      <w:tr w:rsidR="000E0657" w:rsidTr="000E0657">
        <w:tc>
          <w:tcPr>
            <w:tcW w:w="5265" w:type="dxa"/>
          </w:tcPr>
          <w:p w:rsidR="000E0657" w:rsidRPr="00112289" w:rsidRDefault="00112289" w:rsidP="00112289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Предполагаемый срок получения разрешения на ввод в эксплуатацию, орган, уполномоченный в соответствии с законодательством о градостроительной деятельности на выдачу разрешения на ввод объектов недвижимости в эксплуатацию</w:t>
            </w:r>
          </w:p>
        </w:tc>
        <w:tc>
          <w:tcPr>
            <w:tcW w:w="5103" w:type="dxa"/>
          </w:tcPr>
          <w:p w:rsidR="000E0657" w:rsidRDefault="006241C4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bookmarkStart w:id="0" w:name="_GoBack"/>
            <w:bookmarkEnd w:id="0"/>
            <w:r w:rsidR="00826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28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 года</w:t>
            </w:r>
          </w:p>
          <w:p w:rsidR="00112289" w:rsidRPr="00112289" w:rsidRDefault="00112289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Мэрия города Новосибирска</w:t>
            </w:r>
          </w:p>
        </w:tc>
      </w:tr>
      <w:tr w:rsidR="000E0657" w:rsidTr="000E0657">
        <w:tc>
          <w:tcPr>
            <w:tcW w:w="5265" w:type="dxa"/>
          </w:tcPr>
          <w:p w:rsidR="000E0657" w:rsidRPr="00112289" w:rsidRDefault="00112289" w:rsidP="00112289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5103" w:type="dxa"/>
          </w:tcPr>
          <w:p w:rsidR="000E0657" w:rsidRPr="00112289" w:rsidRDefault="00112289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Квартиры в возводимом застройщиком доме пользуются устойчивым спросом, оплата подрядчику производится по факту выполненных работ,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чем финансовые риски сведены к минимуму</w:t>
            </w:r>
            <w:r w:rsidR="00BE2D3C">
              <w:rPr>
                <w:rFonts w:ascii="Times New Roman" w:hAnsi="Times New Roman" w:cs="Times New Roman"/>
                <w:sz w:val="20"/>
                <w:szCs w:val="20"/>
              </w:rPr>
              <w:t>. Прочие риски (связанные с местом, способом строительства и т.п.) не превышают средние показатели по новостройкам города.</w:t>
            </w:r>
          </w:p>
        </w:tc>
      </w:tr>
      <w:tr w:rsidR="000E0657" w:rsidTr="000E0657">
        <w:tc>
          <w:tcPr>
            <w:tcW w:w="5265" w:type="dxa"/>
          </w:tcPr>
          <w:p w:rsidR="000E0657" w:rsidRPr="009D6C36" w:rsidRDefault="009D6C36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9.1    Планируемая стоимость строительства (создания) многоквартирного дома</w:t>
            </w:r>
          </w:p>
        </w:tc>
        <w:tc>
          <w:tcPr>
            <w:tcW w:w="5103" w:type="dxa"/>
          </w:tcPr>
          <w:p w:rsidR="000E0657" w:rsidRPr="009D6C36" w:rsidRDefault="007E377E" w:rsidP="00D8015A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015A" w:rsidRPr="00D80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2D3C"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E2D3C" w:rsidRPr="00D801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801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E2D3C" w:rsidRPr="00D8015A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0E0657" w:rsidTr="000E0657">
        <w:tc>
          <w:tcPr>
            <w:tcW w:w="5265" w:type="dxa"/>
          </w:tcPr>
          <w:p w:rsidR="000E0657" w:rsidRPr="009D6C36" w:rsidRDefault="009D6C36" w:rsidP="009D6C36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организаций, осуществляющих основные строительно-монтажные и другие подрядные работы</w:t>
            </w:r>
          </w:p>
        </w:tc>
        <w:tc>
          <w:tcPr>
            <w:tcW w:w="5103" w:type="dxa"/>
          </w:tcPr>
          <w:p w:rsidR="000E0657" w:rsidRDefault="00DF727E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«Ракурс-С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="009D6C36">
              <w:rPr>
                <w:rFonts w:ascii="Times New Roman" w:hAnsi="Times New Roman" w:cs="Times New Roman"/>
                <w:sz w:val="20"/>
                <w:szCs w:val="20"/>
              </w:rPr>
              <w:t>генеральный проектировщик</w:t>
            </w:r>
          </w:p>
          <w:p w:rsidR="009D6C36" w:rsidRPr="00F66551" w:rsidRDefault="009D6C36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551">
              <w:rPr>
                <w:rFonts w:ascii="Times New Roman" w:hAnsi="Times New Roman" w:cs="Times New Roman"/>
                <w:sz w:val="20"/>
                <w:szCs w:val="20"/>
              </w:rPr>
              <w:t>Свидетельство о допуске</w:t>
            </w:r>
            <w:r w:rsidR="00F66551">
              <w:rPr>
                <w:rFonts w:ascii="Times New Roman" w:hAnsi="Times New Roman" w:cs="Times New Roman"/>
                <w:sz w:val="20"/>
                <w:szCs w:val="20"/>
              </w:rPr>
              <w:t xml:space="preserve"> №П</w:t>
            </w:r>
            <w:r w:rsidR="00DF727E">
              <w:rPr>
                <w:rFonts w:ascii="Times New Roman" w:hAnsi="Times New Roman" w:cs="Times New Roman"/>
                <w:sz w:val="20"/>
                <w:szCs w:val="20"/>
              </w:rPr>
              <w:t>.037.54.6717.07.2015</w:t>
            </w:r>
            <w:r w:rsidR="00F6655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F727E">
              <w:rPr>
                <w:rFonts w:ascii="Times New Roman" w:hAnsi="Times New Roman" w:cs="Times New Roman"/>
                <w:sz w:val="20"/>
                <w:szCs w:val="20"/>
              </w:rPr>
              <w:t xml:space="preserve">06.07.2015 </w:t>
            </w:r>
            <w:r w:rsidR="00F665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731BC" w:rsidRDefault="009731BC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1BC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E03B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03B80">
              <w:rPr>
                <w:rFonts w:ascii="Times New Roman" w:hAnsi="Times New Roman" w:cs="Times New Roman"/>
                <w:sz w:val="20"/>
                <w:szCs w:val="20"/>
              </w:rPr>
              <w:t>СВ-Строй</w:t>
            </w:r>
            <w:proofErr w:type="spellEnd"/>
            <w:r w:rsidR="00E03B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енеральный подрядчик</w:t>
            </w:r>
          </w:p>
          <w:p w:rsidR="009731BC" w:rsidRPr="009731BC" w:rsidRDefault="009731BC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допуске к определенному виду работ, которые оказывают влияние на безопасность объектов капитального строительства </w:t>
            </w:r>
            <w:r w:rsidRPr="009731B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134EE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134EE">
              <w:rPr>
                <w:rFonts w:ascii="Times New Roman" w:hAnsi="Times New Roman" w:cs="Times New Roman"/>
                <w:sz w:val="20"/>
                <w:szCs w:val="20"/>
              </w:rPr>
              <w:t xml:space="preserve">03.04.2014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D6C36" w:rsidRPr="009D6C36" w:rsidRDefault="009D6C36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657" w:rsidTr="000E0657">
        <w:tc>
          <w:tcPr>
            <w:tcW w:w="5265" w:type="dxa"/>
          </w:tcPr>
          <w:p w:rsidR="000E0657" w:rsidRPr="009731BC" w:rsidRDefault="009731BC" w:rsidP="009731BC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5103" w:type="dxa"/>
          </w:tcPr>
          <w:p w:rsidR="0096317E" w:rsidRDefault="009731BC" w:rsidP="00F32024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обязательств застройщиком по договору осуществляется согласно  ФЗ №214 «Об участии в долевом строительстве многоквартирных домов и иных объектов недвижимости»</w:t>
            </w:r>
            <w:r w:rsidR="00057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31BC" w:rsidRPr="0096317E" w:rsidRDefault="0096317E" w:rsidP="00F32024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гражданской ответственности Застройщика – АО «Страховая компания «ПАРИ» Генеральный договор № 0044010-007-ОЗ от 22.12.2015г.</w:t>
            </w:r>
          </w:p>
        </w:tc>
      </w:tr>
      <w:tr w:rsidR="009731BC" w:rsidTr="000E0657">
        <w:tc>
          <w:tcPr>
            <w:tcW w:w="5265" w:type="dxa"/>
          </w:tcPr>
          <w:p w:rsidR="009731BC" w:rsidRDefault="009731BC" w:rsidP="009731BC">
            <w:pPr>
              <w:pStyle w:val="a9"/>
              <w:numPr>
                <w:ilvl w:val="0"/>
                <w:numId w:val="3"/>
              </w:num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договоры и сделки,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</w:t>
            </w:r>
          </w:p>
        </w:tc>
        <w:tc>
          <w:tcPr>
            <w:tcW w:w="5103" w:type="dxa"/>
          </w:tcPr>
          <w:p w:rsidR="009731BC" w:rsidRDefault="009731BC" w:rsidP="000E0657">
            <w:pPr>
              <w:pStyle w:val="a9"/>
              <w:tabs>
                <w:tab w:val="left" w:pos="243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A7F">
              <w:rPr>
                <w:rFonts w:ascii="Times New Roman" w:hAnsi="Times New Roman" w:cs="Times New Roman"/>
                <w:sz w:val="20"/>
                <w:szCs w:val="20"/>
              </w:rPr>
              <w:t>Финансирование строительства Объекта осуществляется за счет собственных и привлеченных средств.</w:t>
            </w:r>
          </w:p>
        </w:tc>
      </w:tr>
    </w:tbl>
    <w:p w:rsidR="000E0657" w:rsidRPr="00C76F8E" w:rsidRDefault="000E0657" w:rsidP="000E0657">
      <w:pPr>
        <w:pStyle w:val="a9"/>
        <w:tabs>
          <w:tab w:val="left" w:pos="2430"/>
        </w:tabs>
        <w:ind w:left="1080"/>
        <w:rPr>
          <w:rFonts w:ascii="Times New Roman" w:hAnsi="Times New Roman" w:cs="Times New Roman"/>
          <w:b/>
          <w:sz w:val="32"/>
          <w:szCs w:val="32"/>
        </w:rPr>
      </w:pPr>
    </w:p>
    <w:sectPr w:rsidR="000E0657" w:rsidRPr="00C76F8E" w:rsidSect="00C76F8E">
      <w:pgSz w:w="11906" w:h="16838"/>
      <w:pgMar w:top="284" w:right="340" w:bottom="28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E5" w:rsidRDefault="000671E5" w:rsidP="0002413E">
      <w:pPr>
        <w:spacing w:after="0" w:line="240" w:lineRule="auto"/>
      </w:pPr>
      <w:r>
        <w:separator/>
      </w:r>
    </w:p>
  </w:endnote>
  <w:endnote w:type="continuationSeparator" w:id="0">
    <w:p w:rsidR="000671E5" w:rsidRDefault="000671E5" w:rsidP="0002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E5" w:rsidRDefault="000671E5" w:rsidP="0002413E">
      <w:pPr>
        <w:spacing w:after="0" w:line="240" w:lineRule="auto"/>
      </w:pPr>
      <w:r>
        <w:separator/>
      </w:r>
    </w:p>
  </w:footnote>
  <w:footnote w:type="continuationSeparator" w:id="0">
    <w:p w:rsidR="000671E5" w:rsidRDefault="000671E5" w:rsidP="0002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4B9"/>
    <w:multiLevelType w:val="hybridMultilevel"/>
    <w:tmpl w:val="83282088"/>
    <w:lvl w:ilvl="0" w:tplc="49CEED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266A"/>
    <w:multiLevelType w:val="hybridMultilevel"/>
    <w:tmpl w:val="83BE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F3E65"/>
    <w:multiLevelType w:val="hybridMultilevel"/>
    <w:tmpl w:val="7F0C6ABC"/>
    <w:lvl w:ilvl="0" w:tplc="1B9A4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413E"/>
    <w:rsid w:val="00010DF5"/>
    <w:rsid w:val="0002308E"/>
    <w:rsid w:val="0002413E"/>
    <w:rsid w:val="00033D6E"/>
    <w:rsid w:val="0003491E"/>
    <w:rsid w:val="00056DDD"/>
    <w:rsid w:val="00057210"/>
    <w:rsid w:val="0005793E"/>
    <w:rsid w:val="000671E5"/>
    <w:rsid w:val="00074042"/>
    <w:rsid w:val="000930F4"/>
    <w:rsid w:val="000D59B1"/>
    <w:rsid w:val="000E0657"/>
    <w:rsid w:val="000E4E3B"/>
    <w:rsid w:val="000F7242"/>
    <w:rsid w:val="00112289"/>
    <w:rsid w:val="001265EB"/>
    <w:rsid w:val="00145C5D"/>
    <w:rsid w:val="001704F1"/>
    <w:rsid w:val="00182909"/>
    <w:rsid w:val="001B67A1"/>
    <w:rsid w:val="002134EE"/>
    <w:rsid w:val="00254080"/>
    <w:rsid w:val="0026495C"/>
    <w:rsid w:val="00265844"/>
    <w:rsid w:val="00275BE8"/>
    <w:rsid w:val="002838B0"/>
    <w:rsid w:val="002F0752"/>
    <w:rsid w:val="002F34B0"/>
    <w:rsid w:val="00325961"/>
    <w:rsid w:val="00335FAE"/>
    <w:rsid w:val="003521A8"/>
    <w:rsid w:val="0035728B"/>
    <w:rsid w:val="00366B46"/>
    <w:rsid w:val="00367EF2"/>
    <w:rsid w:val="00394C84"/>
    <w:rsid w:val="003E76AA"/>
    <w:rsid w:val="003F0F53"/>
    <w:rsid w:val="003F1A9B"/>
    <w:rsid w:val="00444E41"/>
    <w:rsid w:val="00453D61"/>
    <w:rsid w:val="004A37B3"/>
    <w:rsid w:val="004C10C5"/>
    <w:rsid w:val="004C3638"/>
    <w:rsid w:val="004C46F7"/>
    <w:rsid w:val="00515BB5"/>
    <w:rsid w:val="005531D3"/>
    <w:rsid w:val="00563C54"/>
    <w:rsid w:val="00571C44"/>
    <w:rsid w:val="00582FC1"/>
    <w:rsid w:val="005A0679"/>
    <w:rsid w:val="005F08C8"/>
    <w:rsid w:val="006241C4"/>
    <w:rsid w:val="00642CB5"/>
    <w:rsid w:val="006A6F30"/>
    <w:rsid w:val="006C2FCB"/>
    <w:rsid w:val="00762DA4"/>
    <w:rsid w:val="00790A1F"/>
    <w:rsid w:val="00797530"/>
    <w:rsid w:val="007A1C09"/>
    <w:rsid w:val="007A25EC"/>
    <w:rsid w:val="007B7934"/>
    <w:rsid w:val="007E377E"/>
    <w:rsid w:val="00815F78"/>
    <w:rsid w:val="00820030"/>
    <w:rsid w:val="0082599F"/>
    <w:rsid w:val="00826A7F"/>
    <w:rsid w:val="00827F6B"/>
    <w:rsid w:val="008500D4"/>
    <w:rsid w:val="00865257"/>
    <w:rsid w:val="00867A7B"/>
    <w:rsid w:val="0087136D"/>
    <w:rsid w:val="008853A8"/>
    <w:rsid w:val="008A58AF"/>
    <w:rsid w:val="008A7717"/>
    <w:rsid w:val="008C4245"/>
    <w:rsid w:val="008E2D3A"/>
    <w:rsid w:val="009110DB"/>
    <w:rsid w:val="009361C9"/>
    <w:rsid w:val="00944C4F"/>
    <w:rsid w:val="00954C7D"/>
    <w:rsid w:val="0096317E"/>
    <w:rsid w:val="00966C1D"/>
    <w:rsid w:val="009731BC"/>
    <w:rsid w:val="009D6C36"/>
    <w:rsid w:val="00A00BEF"/>
    <w:rsid w:val="00A50117"/>
    <w:rsid w:val="00A82EC1"/>
    <w:rsid w:val="00A974DC"/>
    <w:rsid w:val="00AA22A4"/>
    <w:rsid w:val="00AD4B17"/>
    <w:rsid w:val="00AE042E"/>
    <w:rsid w:val="00AE1F18"/>
    <w:rsid w:val="00B16B1D"/>
    <w:rsid w:val="00B555BA"/>
    <w:rsid w:val="00BE298A"/>
    <w:rsid w:val="00BE2D3C"/>
    <w:rsid w:val="00BF4AF4"/>
    <w:rsid w:val="00C01B63"/>
    <w:rsid w:val="00C25DAE"/>
    <w:rsid w:val="00C34F9D"/>
    <w:rsid w:val="00C37D9E"/>
    <w:rsid w:val="00C44589"/>
    <w:rsid w:val="00C5619F"/>
    <w:rsid w:val="00C6052B"/>
    <w:rsid w:val="00C65570"/>
    <w:rsid w:val="00C67EF9"/>
    <w:rsid w:val="00C76F8E"/>
    <w:rsid w:val="00C8696C"/>
    <w:rsid w:val="00CB7A25"/>
    <w:rsid w:val="00CE279F"/>
    <w:rsid w:val="00CE496D"/>
    <w:rsid w:val="00CF406B"/>
    <w:rsid w:val="00D20DF0"/>
    <w:rsid w:val="00D71D68"/>
    <w:rsid w:val="00D8015A"/>
    <w:rsid w:val="00D87F7A"/>
    <w:rsid w:val="00DF727E"/>
    <w:rsid w:val="00E03B80"/>
    <w:rsid w:val="00E12C7A"/>
    <w:rsid w:val="00E14DA4"/>
    <w:rsid w:val="00E1635C"/>
    <w:rsid w:val="00E42247"/>
    <w:rsid w:val="00E57342"/>
    <w:rsid w:val="00E62C42"/>
    <w:rsid w:val="00EB7C8C"/>
    <w:rsid w:val="00EE7E17"/>
    <w:rsid w:val="00EF20BF"/>
    <w:rsid w:val="00F32024"/>
    <w:rsid w:val="00F66551"/>
    <w:rsid w:val="00FB6056"/>
    <w:rsid w:val="00FD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13E"/>
  </w:style>
  <w:style w:type="paragraph" w:styleId="a5">
    <w:name w:val="footer"/>
    <w:basedOn w:val="a"/>
    <w:link w:val="a6"/>
    <w:uiPriority w:val="99"/>
    <w:unhideWhenUsed/>
    <w:rsid w:val="0002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13E"/>
  </w:style>
  <w:style w:type="paragraph" w:styleId="a7">
    <w:name w:val="Balloon Text"/>
    <w:basedOn w:val="a"/>
    <w:link w:val="a8"/>
    <w:uiPriority w:val="99"/>
    <w:semiHidden/>
    <w:unhideWhenUsed/>
    <w:rsid w:val="0009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0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6F8E"/>
    <w:pPr>
      <w:ind w:left="720"/>
      <w:contextualSpacing/>
    </w:pPr>
  </w:style>
  <w:style w:type="table" w:styleId="aa">
    <w:name w:val="Table Grid"/>
    <w:basedOn w:val="a1"/>
    <w:uiPriority w:val="59"/>
    <w:rsid w:val="00C7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33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4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8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8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0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5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-dak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3D75-4055-40A7-9FBF-8FBD6BCE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OTDPRD</dc:creator>
  <cp:lastModifiedBy>admin</cp:lastModifiedBy>
  <cp:revision>9</cp:revision>
  <cp:lastPrinted>2015-12-21T09:31:00Z</cp:lastPrinted>
  <dcterms:created xsi:type="dcterms:W3CDTF">2016-01-25T04:00:00Z</dcterms:created>
  <dcterms:modified xsi:type="dcterms:W3CDTF">2016-03-24T08:08:00Z</dcterms:modified>
</cp:coreProperties>
</file>